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" w:name="a3-990-comparison"/>
    <w:p>
      <w:pPr>
        <w:pStyle w:val="Heading1"/>
      </w:pPr>
      <w:r>
        <w:t xml:space="preserve">A3 · 990 Comparison</w:t>
      </w:r>
    </w:p>
    <w:p>
      <w:pPr>
        <w:pStyle w:val="FirstParagraph"/>
      </w:pPr>
      <w:r>
        <w:t xml:space="preserve">SPEA-V221 · Rail A · 15 points, credit / no-credit · due Sun Oct 18, 11:59 PM, on Canvas</w:t>
      </w:r>
    </w:p>
    <w:p>
      <w:pPr>
        <w:pStyle w:val="BodyText"/>
      </w:pPr>
      <w:r>
        <w:t xml:space="preserve">Your name:</w:t>
      </w:r>
    </w:p>
    <w:p>
      <w:pPr>
        <w:pStyle w:val="BodyText"/>
      </w:pPr>
      <w:r>
        <w:rPr>
          <w:i/>
          <w:iCs/>
        </w:rPr>
        <w:t xml:space="preserve">This is a scaffold, not a form: keep the pieces below, and add rows, notes, or a second table wherever you find something worth comparing.</w:t>
      </w:r>
    </w:p>
    <w:bookmarkStart w:id="9" w:name="the-two-organizations"/>
    <w:p>
      <w:pPr>
        <w:pStyle w:val="Heading2"/>
      </w:pPr>
      <w:r>
        <w:t xml:space="preserve">The two organizations</w:t>
      </w:r>
    </w:p>
    <w:p>
      <w:pPr>
        <w:pStyle w:val="FirstParagraph"/>
      </w:pPr>
      <w:r>
        <w:rPr>
          <w:i/>
          <w:iCs/>
        </w:rPr>
        <w:t xml:space="preserve">Your site-visit org and one comparison org in a different subsector. Both must file a full Form 990 or a 990-EZ (not a 990-N). You never contact the comparison org; its public filing does the talking.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Your org</w:t>
            </w:r>
          </w:p>
        </w:tc>
        <w:tc>
          <w:tcPr/>
          <w:p>
            <w:pPr>
              <w:pStyle w:val="Compact"/>
            </w:pPr>
            <w:r>
              <w:t xml:space="preserve">Comparison org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name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EIN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Subsector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Filing link (ProPublica)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Tax year (page 1, item A)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side-by-side"/>
    <w:p>
      <w:pPr>
        <w:pStyle w:val="Heading2"/>
      </w:pPr>
      <w:r>
        <w:t xml:space="preserve">Side by side</w:t>
      </w:r>
    </w:p>
    <w:p>
      <w:pPr>
        <w:pStyle w:val="FirstParagraph"/>
      </w:pPr>
      <w:r>
        <w:rPr>
          <w:i/>
          <w:iCs/>
        </w:rPr>
        <w:t xml:space="preserve">Every figure needs a location: part, line, and PDF page.</w:t>
      </w:r>
      <w:r>
        <w:rPr>
          <w:i/>
          <w:iCs/>
        </w:rPr>
        <w:t xml:space="preserve"> </w:t>
      </w:r>
      <w:r>
        <w:rPr>
          <w:i/>
          <w:iCs/>
        </w:rPr>
        <w:t xml:space="preserve">“Part IX”</w:t>
      </w:r>
      <w:r>
        <w:rPr>
          <w:i/>
          <w:iCs/>
        </w:rPr>
        <w:t xml:space="preserve"> </w:t>
      </w:r>
      <w:r>
        <w:rPr>
          <w:i/>
          <w:iCs/>
        </w:rPr>
        <w:t xml:space="preserve">is not a location;</w:t>
      </w:r>
      <w:r>
        <w:rPr>
          <w:i/>
          <w:iCs/>
        </w:rPr>
        <w:t xml:space="preserve"> </w:t>
      </w:r>
      <w:r>
        <w:rPr>
          <w:i/>
          <w:iCs/>
        </w:rPr>
        <w:t xml:space="preserve">“Part IX, line 25, column A, p. 10”</w:t>
      </w:r>
      <w:r>
        <w:rPr>
          <w:i/>
          <w:iCs/>
        </w:rPr>
        <w:t xml:space="preserve"> </w:t>
      </w:r>
      <w:r>
        <w:rPr>
          <w:i/>
          <w:iCs/>
        </w:rPr>
        <w:t xml:space="preserve">is. Add rows for anything else the filings reveal. Where a filing is simply silent (a 990-EZ carries no staff or volunteer counts, for instance), say so and name what you’d check instead: that’s a real finding, and it counts.</w:t>
      </w:r>
    </w:p>
    <w:p>
      <w:pPr>
        <w:pStyle w:val="BodyText"/>
      </w:pPr>
      <w:r>
        <w:rPr>
          <w:i/>
          <w:iCs/>
        </w:rPr>
        <w:t xml:space="preserve">Draw on the course toolkit here: the failure theories in Child’s overview (W5), including Hansmann’s trust test (</w:t>
      </w:r>
      <w:r>
        <w:rPr>
          <w:i/>
          <w:iCs/>
        </w:rPr>
        <w:t xml:space="preserve">“would you trust a for-profit to run this?”</w:t>
      </w:r>
      <w:r>
        <w:rPr>
          <w:i/>
          <w:iCs/>
        </w:rPr>
        <w:t xml:space="preserve">); the Ten Nonprofit Funding Models (Foster, Kim &amp; Christiansen, W7) to name what each revenue mix resembles; and the starvation cycle and overhead myth (W8) before judging any overhead figure. The readings live on the week pages.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10"/>
        <w:gridCol w:w="1804"/>
        <w:gridCol w:w="210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Compare on</w:t>
            </w:r>
          </w:p>
        </w:tc>
        <w:tc>
          <w:tcPr/>
          <w:p>
            <w:pPr>
              <w:pStyle w:val="Compact"/>
            </w:pPr>
            <w:r>
              <w:t xml:space="preserve">Your org (figure + part · line · p.)</w:t>
            </w:r>
          </w:p>
        </w:tc>
        <w:tc>
          <w:tcPr/>
          <w:p>
            <w:pPr>
              <w:pStyle w:val="Compact"/>
            </w:pPr>
            <w:r>
              <w:t xml:space="preserve">Comparison org (figure + part · line · p.)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Size and revenue mix: total revenue; donations / program fees / government money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Where the money goes: biggest expense lines, program vs. overhead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People: staff, and volunteers where reported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Which failure theory the money pattern suggests, and why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the-sharpest-contrast"/>
    <w:p>
      <w:pPr>
        <w:pStyle w:val="Heading2"/>
      </w:pPr>
      <w:r>
        <w:t xml:space="preserve">The sharpest contrast</w:t>
      </w:r>
    </w:p>
    <w:p>
      <w:pPr>
        <w:pStyle w:val="FirstParagraph"/>
      </w:pPr>
      <w:r>
        <w:rPr>
          <w:i/>
          <w:iCs/>
        </w:rPr>
        <w:t xml:space="preserve">One sentence. It usually becomes the spine of your final report.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2026-10-02T14:02:47Z</dcterms:created>
  <dcterms:modified xsi:type="dcterms:W3CDTF">2026-10-02T14:02:47Z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