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a4-final-report"/>
    <w:p>
      <w:pPr>
        <w:pStyle w:val="Heading1"/>
      </w:pPr>
      <w:r>
        <w:t xml:space="preserve">A4 · Final Report</w:t>
      </w:r>
    </w:p>
    <w:p>
      <w:pPr>
        <w:pStyle w:val="FirstParagraph"/>
      </w:pPr>
      <w:r>
        <w:t xml:space="preserve">SPEA-V221 · Rail A · 20 points, rubric-graded · due Sun Nov 15, 11:59 PM, on Canvas</w:t>
      </w:r>
    </w:p>
    <w:p>
      <w:pPr>
        <w:pStyle w:val="BodyText"/>
      </w:pPr>
      <w:r>
        <w:t xml:space="preserve">Your name: · Your organization:</w:t>
      </w:r>
    </w:p>
    <w:p>
      <w:pPr>
        <w:pStyle w:val="BodyText"/>
      </w:pPr>
      <w:r>
        <w:rPr>
          <w:b/>
          <w:bCs/>
        </w:rPr>
        <w:t xml:space="preserve">Max 4 pages, single-spaced.</w:t>
      </w:r>
      <w:r>
        <w:t xml:space="preserve"> </w:t>
      </w:r>
      <w:r>
        <w:t xml:space="preserve">Tables and the AI process log don’t count toward the limit.</w:t>
      </w:r>
    </w:p>
    <w:p>
      <w:pPr>
        <w:pStyle w:val="BodyText"/>
      </w:pPr>
      <w:r>
        <w:rPr>
          <w:i/>
          <w:iCs/>
        </w:rPr>
        <w:t xml:space="preserve">The headings below are a starting structure, not a form: rename them, reorder them, and add whatever your argument needs, as long as the four jobs get done. Each</w:t>
      </w:r>
      <w:r>
        <w:rPr>
          <w:i/>
          <w:iCs/>
        </w:rPr>
        <w:t xml:space="preserve"> </w:t>
      </w:r>
      <w:r>
        <w:rPr>
          <w:i/>
          <w:iCs/>
        </w:rPr>
        <w:t xml:space="preserve">“draw on”</w:t>
      </w:r>
      <w:r>
        <w:rPr>
          <w:i/>
          <w:iCs/>
        </w:rPr>
        <w:t xml:space="preserve"> </w:t>
      </w:r>
      <w:r>
        <w:rPr>
          <w:i/>
          <w:iCs/>
        </w:rPr>
        <w:t xml:space="preserve">line names the course tools that fit that job; the readings live on the week pages.</w:t>
      </w:r>
    </w:p>
    <w:bookmarkStart w:id="9" w:name="the-organization-and-its-role"/>
    <w:p>
      <w:pPr>
        <w:pStyle w:val="Heading2"/>
      </w:pPr>
      <w:r>
        <w:t xml:space="preserve">The organization and its role</w:t>
      </w:r>
    </w:p>
    <w:p>
      <w:pPr>
        <w:pStyle w:val="FirstParagraph"/>
      </w:pPr>
      <w:r>
        <w:rPr>
          <w:i/>
          <w:iCs/>
        </w:rPr>
        <w:t xml:space="preserve">What it does, who it serves, and where it sits in its subsector.</w:t>
      </w:r>
    </w:p>
    <w:p>
      <w:pPr>
        <w:pStyle w:val="BodyText"/>
      </w:pPr>
      <w:r>
        <w:rPr>
          <w:i/>
          <w:iCs/>
        </w:rPr>
        <w:t xml:space="preserve">Draw on: Frumkin’s four functions of the sector (W1) and the subsector tours (W9–10): which functions does this org actually perform, and who are its real peers?</w:t>
      </w:r>
    </w:p>
    <w:bookmarkEnd w:id="9"/>
    <w:bookmarkStart w:id="10" w:name="why-a-nonprofit"/>
    <w:p>
      <w:pPr>
        <w:pStyle w:val="Heading2"/>
      </w:pPr>
      <w:r>
        <w:t xml:space="preserve">Why a nonprofit</w:t>
      </w:r>
    </w:p>
    <w:p>
      <w:pPr>
        <w:pStyle w:val="FirstParagraph"/>
      </w:pPr>
      <w:r>
        <w:rPr>
          <w:i/>
          <w:iCs/>
        </w:rPr>
        <w:t xml:space="preserve">The failure theory that best explains why this work landed in a nonprofit, and where social capital shows up in it. Argue it; don’t just label it.</w:t>
      </w:r>
    </w:p>
    <w:p>
      <w:pPr>
        <w:pStyle w:val="BodyText"/>
      </w:pPr>
      <w:r>
        <w:rPr>
          <w:i/>
          <w:iCs/>
        </w:rPr>
        <w:t xml:space="preserve">Draw on: Child’s theory overview (W5): Weisbrod’s government failure, Hansmann’s contract failure and trust test, Salamon’s voluntary failure; and social capital (Putnam, W5): what does this org bridge or bond?</w:t>
      </w:r>
    </w:p>
    <w:bookmarkEnd w:id="10"/>
    <w:bookmarkStart w:id="11" w:name="the-funding-story"/>
    <w:p>
      <w:pPr>
        <w:pStyle w:val="Heading2"/>
      </w:pPr>
      <w:r>
        <w:t xml:space="preserve">The funding story</w:t>
      </w:r>
    </w:p>
    <w:p>
      <w:pPr>
        <w:pStyle w:val="FirstParagraph"/>
      </w:pPr>
      <w:r>
        <w:rPr>
          <w:i/>
          <w:iCs/>
        </w:rPr>
        <w:t xml:space="preserve">Where the money actually comes from and goes, traced to the filing, and what your A3 cross-subsector comparison reveals about it. A genuine comparison, not two profiles stapled together.</w:t>
      </w:r>
    </w:p>
    <w:p>
      <w:pPr>
        <w:pStyle w:val="BodyText"/>
      </w:pPr>
      <w:r>
        <w:rPr>
          <w:i/>
          <w:iCs/>
        </w:rPr>
        <w:t xml:space="preserve">Draw on: the Ten Nonprofit Funding Models (Foster, Kim &amp; Christiansen, W7) to name each org’s model, and the starvation cycle and overhead myth (W8) before you judge an overhead figure.</w:t>
      </w:r>
    </w:p>
    <w:bookmarkEnd w:id="11"/>
    <w:bookmarkStart w:id="12" w:name="what-the-room-told-me"/>
    <w:p>
      <w:pPr>
        <w:pStyle w:val="Heading2"/>
      </w:pPr>
      <w:r>
        <w:t xml:space="preserve">What the room told me</w:t>
      </w:r>
    </w:p>
    <w:p>
      <w:pPr>
        <w:pStyle w:val="FirstParagraph"/>
      </w:pPr>
      <w:r>
        <w:rPr>
          <w:i/>
          <w:iCs/>
        </w:rPr>
        <w:t xml:space="preserve">The thing you only learned by being there, that no filing could show.</w:t>
      </w:r>
    </w:p>
    <w:p>
      <w:pPr>
        <w:pStyle w:val="BodyText"/>
      </w:pPr>
      <w:r>
        <w:rPr>
          <w:i/>
          <w:iCs/>
        </w:rPr>
        <w:t xml:space="preserve">Draw on: whatever the filings and readings led you to expect that the room confirmed or contradicted; Eliasoph on what volunteers actually do (W11), if volunteers were part of what you saw.</w:t>
      </w:r>
    </w:p>
    <w:bookmarkEnd w:id="12"/>
    <w:bookmarkStart w:id="13" w:name="appendix-ai-process-log"/>
    <w:p>
      <w:pPr>
        <w:pStyle w:val="Heading2"/>
      </w:pPr>
      <w:r>
        <w:t xml:space="preserve">Appendix: AI process log</w:t>
      </w:r>
    </w:p>
    <w:p>
      <w:pPr>
        <w:pStyle w:val="FirstParagraph"/>
      </w:pPr>
      <w:r>
        <w:rPr>
          <w:i/>
          <w:iCs/>
        </w:rPr>
        <w:t xml:space="preserve">Which tools, for what; each checked claim with its source and what you corrected. See the AI Process Log how-to on the course site. Not counted in the page limit.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2026-08-22T15:31:07Z</dcterms:created>
  <dcterms:modified xsi:type="dcterms:W3CDTF">2026-08-22T15:31:07Z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